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35" w:rsidRDefault="008547C7" w:rsidP="00E87C65">
      <w:pPr>
        <w:tabs>
          <w:tab w:val="left" w:pos="287"/>
          <w:tab w:val="left" w:pos="545"/>
        </w:tabs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8547C7">
        <w:rPr>
          <w:rFonts w:ascii="Tahoma" w:hAnsi="Tahoma" w:cs="Tahoma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.75pt;height:27pt;visibility:visible">
            <v:imagedata r:id="rId7" o:title=""/>
          </v:shape>
        </w:pict>
      </w:r>
    </w:p>
    <w:p w:rsidR="00521035" w:rsidRDefault="00521035" w:rsidP="0068011F">
      <w:pPr>
        <w:tabs>
          <w:tab w:val="left" w:pos="287"/>
          <w:tab w:val="left" w:pos="545"/>
        </w:tabs>
        <w:spacing w:after="0" w:line="360" w:lineRule="auto"/>
        <w:ind w:firstLine="709"/>
        <w:jc w:val="right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Приложение № </w:t>
      </w:r>
      <w:r>
        <w:rPr>
          <w:rFonts w:ascii="Tahoma" w:hAnsi="Tahoma" w:cs="Tahoma"/>
          <w:sz w:val="21"/>
          <w:szCs w:val="21"/>
        </w:rPr>
        <w:t>2</w:t>
      </w:r>
      <w:r w:rsidRPr="0068011F">
        <w:rPr>
          <w:rFonts w:ascii="Tahoma" w:hAnsi="Tahoma" w:cs="Tahoma"/>
          <w:sz w:val="21"/>
          <w:szCs w:val="21"/>
        </w:rPr>
        <w:t xml:space="preserve"> </w:t>
      </w:r>
    </w:p>
    <w:p w:rsidR="00521035" w:rsidRPr="0068011F" w:rsidRDefault="00521035" w:rsidP="0068011F">
      <w:pPr>
        <w:tabs>
          <w:tab w:val="left" w:pos="287"/>
          <w:tab w:val="left" w:pos="545"/>
        </w:tabs>
        <w:spacing w:after="0" w:line="360" w:lineRule="auto"/>
        <w:ind w:firstLine="709"/>
        <w:jc w:val="right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к договору поставки № ___ от ______    ______ 20____ г.</w:t>
      </w:r>
    </w:p>
    <w:p w:rsidR="00521035" w:rsidRDefault="00521035" w:rsidP="000E0768">
      <w:pPr>
        <w:tabs>
          <w:tab w:val="left" w:pos="287"/>
          <w:tab w:val="left" w:pos="545"/>
        </w:tabs>
        <w:spacing w:after="0" w:line="360" w:lineRule="auto"/>
        <w:ind w:firstLine="709"/>
        <w:jc w:val="center"/>
        <w:rPr>
          <w:rFonts w:ascii="Tahoma" w:hAnsi="Tahoma" w:cs="Tahoma"/>
          <w:b/>
          <w:sz w:val="21"/>
          <w:szCs w:val="21"/>
        </w:rPr>
      </w:pPr>
    </w:p>
    <w:p w:rsidR="00521035" w:rsidRPr="0068011F" w:rsidRDefault="00521035" w:rsidP="000E0768">
      <w:pPr>
        <w:tabs>
          <w:tab w:val="left" w:pos="287"/>
          <w:tab w:val="left" w:pos="545"/>
        </w:tabs>
        <w:spacing w:after="0" w:line="360" w:lineRule="auto"/>
        <w:ind w:firstLine="709"/>
        <w:jc w:val="center"/>
        <w:rPr>
          <w:rFonts w:ascii="Tahoma" w:hAnsi="Tahoma" w:cs="Tahoma"/>
          <w:b/>
          <w:sz w:val="21"/>
          <w:szCs w:val="21"/>
        </w:rPr>
      </w:pPr>
      <w:r w:rsidRPr="0068011F">
        <w:rPr>
          <w:rFonts w:ascii="Tahoma" w:hAnsi="Tahoma" w:cs="Tahoma"/>
          <w:b/>
          <w:sz w:val="21"/>
          <w:szCs w:val="21"/>
        </w:rPr>
        <w:t>Соглашение о качестве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1. Базовые требования к системе менеджмента качества Поставщика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Поставщик обязан принимать участие в программах Покупателя по развитию и качеству П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ставщика и следовать требованиям по качеству и процедурам, определённым Покупателем, которые периодически пересматриваются, а также иметь сертификат или прилагать усилия для достижения с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ответствия системы менеджмента качества требованиям актуальной версии стандарта ГОСТ ISO 9001 (ISO 9001) или ГОСТ </w:t>
      </w:r>
      <w:proofErr w:type="gramStart"/>
      <w:r w:rsidRPr="0068011F">
        <w:rPr>
          <w:rFonts w:ascii="Tahoma" w:hAnsi="Tahoma" w:cs="Tahoma"/>
          <w:sz w:val="21"/>
          <w:szCs w:val="21"/>
        </w:rPr>
        <w:t>Р</w:t>
      </w:r>
      <w:proofErr w:type="gramEnd"/>
      <w:r w:rsidRPr="0068011F">
        <w:rPr>
          <w:rFonts w:ascii="Tahoma" w:hAnsi="Tahoma" w:cs="Tahoma"/>
          <w:sz w:val="21"/>
          <w:szCs w:val="21"/>
        </w:rPr>
        <w:t xml:space="preserve">  ИСО/ТУ 16949 (ISO/TS 16949). При принятии решения Поставщиком о сертиф</w:t>
      </w:r>
      <w:r w:rsidRPr="0068011F">
        <w:rPr>
          <w:rFonts w:ascii="Tahoma" w:hAnsi="Tahoma" w:cs="Tahoma"/>
          <w:sz w:val="21"/>
          <w:szCs w:val="21"/>
        </w:rPr>
        <w:t>и</w:t>
      </w:r>
      <w:r w:rsidRPr="0068011F">
        <w:rPr>
          <w:rFonts w:ascii="Tahoma" w:hAnsi="Tahoma" w:cs="Tahoma"/>
          <w:sz w:val="21"/>
          <w:szCs w:val="21"/>
        </w:rPr>
        <w:t xml:space="preserve">кации на соответствие ГОСТ ISO 9001 или ГОСТ </w:t>
      </w:r>
      <w:proofErr w:type="gramStart"/>
      <w:r w:rsidRPr="0068011F">
        <w:rPr>
          <w:rFonts w:ascii="Tahoma" w:hAnsi="Tahoma" w:cs="Tahoma"/>
          <w:sz w:val="21"/>
          <w:szCs w:val="21"/>
        </w:rPr>
        <w:t>Р</w:t>
      </w:r>
      <w:proofErr w:type="gramEnd"/>
      <w:r w:rsidRPr="0068011F">
        <w:rPr>
          <w:rFonts w:ascii="Tahoma" w:hAnsi="Tahoma" w:cs="Tahoma"/>
          <w:sz w:val="21"/>
          <w:szCs w:val="21"/>
        </w:rPr>
        <w:t xml:space="preserve"> ИСО/ТУ 16949 (ISO/TS 16949) Поставщик обязан с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общить о выборе сертификационного органа Покупателю.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2. Коммуникация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Поставщик обязан определить и уведомить Покупателя о назначении лица (ФИО, должность, </w:t>
      </w:r>
      <w:proofErr w:type="spellStart"/>
      <w:r w:rsidRPr="0068011F">
        <w:rPr>
          <w:rFonts w:ascii="Tahoma" w:hAnsi="Tahoma" w:cs="Tahoma"/>
          <w:sz w:val="21"/>
          <w:szCs w:val="21"/>
        </w:rPr>
        <w:t>e-mail</w:t>
      </w:r>
      <w:proofErr w:type="spellEnd"/>
      <w:r w:rsidRPr="0068011F">
        <w:rPr>
          <w:rFonts w:ascii="Tahoma" w:hAnsi="Tahoma" w:cs="Tahoma"/>
          <w:sz w:val="21"/>
          <w:szCs w:val="21"/>
        </w:rPr>
        <w:t>, номер телефона), ответственного за взаимодействие с Покупателем на период разработки и по</w:t>
      </w:r>
      <w:r w:rsidRPr="0068011F">
        <w:rPr>
          <w:rFonts w:ascii="Tahoma" w:hAnsi="Tahoma" w:cs="Tahoma"/>
          <w:sz w:val="21"/>
          <w:szCs w:val="21"/>
        </w:rPr>
        <w:t>д</w:t>
      </w:r>
      <w:r w:rsidRPr="0068011F">
        <w:rPr>
          <w:rFonts w:ascii="Tahoma" w:hAnsi="Tahoma" w:cs="Tahoma"/>
          <w:sz w:val="21"/>
          <w:szCs w:val="21"/>
        </w:rPr>
        <w:t>готовки к серийному производству продукции и текущей деятельности при серийных поставках – о</w:t>
      </w:r>
      <w:r w:rsidRPr="0068011F">
        <w:rPr>
          <w:rFonts w:ascii="Tahoma" w:hAnsi="Tahoma" w:cs="Tahoma"/>
          <w:sz w:val="21"/>
          <w:szCs w:val="21"/>
        </w:rPr>
        <w:t>т</w:t>
      </w:r>
      <w:r w:rsidRPr="0068011F">
        <w:rPr>
          <w:rFonts w:ascii="Tahoma" w:hAnsi="Tahoma" w:cs="Tahoma"/>
          <w:sz w:val="21"/>
          <w:szCs w:val="21"/>
        </w:rPr>
        <w:t>ветственного за обеспечение качества. В случае возникновения проблемной ситуации, касающейся сроков поставки или качества поставленной продукции, Поставщик обязан обеспечить возможность круглосуточной коммуникации Покупателя с данным лицом.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Покупатель определяет язык коммуникации между Покупателем и Поставщиком, а также язык рабочей документации, чертежей, переписки, взаимных договорённостей: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- для Поставщиков-резидентов РФ и расположенных на территории стран СНГ – русский;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- для Поставщиков-нерезидентов РФ – русский или английский.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Покупатель определяет формат рабочей документации, чертежей, переписки, взаимных дог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ворённостей.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3. Аудиты Поставщика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Покупатель оставляет за собой право проводить аудиты процессов и аудиты продукта на терр</w:t>
      </w:r>
      <w:r w:rsidRPr="0068011F">
        <w:rPr>
          <w:rFonts w:ascii="Tahoma" w:hAnsi="Tahoma" w:cs="Tahoma"/>
          <w:sz w:val="21"/>
          <w:szCs w:val="21"/>
        </w:rPr>
        <w:t>и</w:t>
      </w:r>
      <w:r w:rsidRPr="0068011F">
        <w:rPr>
          <w:rFonts w:ascii="Tahoma" w:hAnsi="Tahoma" w:cs="Tahoma"/>
          <w:sz w:val="21"/>
          <w:szCs w:val="21"/>
        </w:rPr>
        <w:t>тории Поставщика, заблаговременно уведомив Поставщика о сроках проведения аудита. Покупатель также оставляет за собой право участвовать в проведении совместных аудитов субпоставщиков (п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ставщиков Поставщика).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4. Стратегия «0 дефектов»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Поставщик обязан принять стратегию «0 дефектов» в производстве, для чего Поставщик до</w:t>
      </w:r>
      <w:r w:rsidRPr="0068011F">
        <w:rPr>
          <w:rFonts w:ascii="Tahoma" w:hAnsi="Tahoma" w:cs="Tahoma"/>
          <w:sz w:val="21"/>
          <w:szCs w:val="21"/>
        </w:rPr>
        <w:t>л</w:t>
      </w:r>
      <w:r w:rsidRPr="0068011F">
        <w:rPr>
          <w:rFonts w:ascii="Tahoma" w:hAnsi="Tahoma" w:cs="Tahoma"/>
          <w:sz w:val="21"/>
          <w:szCs w:val="21"/>
        </w:rPr>
        <w:t>жен применять такие техники качества, как: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- перспективное планирование качества продукции и разработка планов управления качеством (приложение APQP/CP к QS 9000, ГОСТ </w:t>
      </w:r>
      <w:proofErr w:type="gramStart"/>
      <w:r w:rsidRPr="0068011F">
        <w:rPr>
          <w:rFonts w:ascii="Tahoma" w:hAnsi="Tahoma" w:cs="Tahoma"/>
          <w:sz w:val="21"/>
          <w:szCs w:val="21"/>
        </w:rPr>
        <w:t>Р</w:t>
      </w:r>
      <w:proofErr w:type="gramEnd"/>
      <w:r w:rsidRPr="0068011F">
        <w:rPr>
          <w:rFonts w:ascii="Tahoma" w:hAnsi="Tahoma" w:cs="Tahoma"/>
          <w:sz w:val="21"/>
          <w:szCs w:val="21"/>
        </w:rPr>
        <w:t xml:space="preserve"> 51814.6 или VDA 4);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- анализ видов и последствий потенциальных дефектов (приложение FMEA к QS 9000, ГОСТ </w:t>
      </w:r>
      <w:proofErr w:type="gramStart"/>
      <w:r w:rsidRPr="0068011F">
        <w:rPr>
          <w:rFonts w:ascii="Tahoma" w:hAnsi="Tahoma" w:cs="Tahoma"/>
          <w:sz w:val="21"/>
          <w:szCs w:val="21"/>
        </w:rPr>
        <w:t>Р</w:t>
      </w:r>
      <w:proofErr w:type="gramEnd"/>
      <w:r w:rsidRPr="0068011F">
        <w:rPr>
          <w:rFonts w:ascii="Tahoma" w:hAnsi="Tahoma" w:cs="Tahoma"/>
          <w:sz w:val="21"/>
          <w:szCs w:val="21"/>
        </w:rPr>
        <w:t> 51814.2 или VDA 4);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- статистическое управление процессами (приложение SPC к QS 9000, ГОСТ </w:t>
      </w:r>
      <w:proofErr w:type="gramStart"/>
      <w:r w:rsidRPr="0068011F">
        <w:rPr>
          <w:rFonts w:ascii="Tahoma" w:hAnsi="Tahoma" w:cs="Tahoma"/>
          <w:sz w:val="21"/>
          <w:szCs w:val="21"/>
        </w:rPr>
        <w:t>Р</w:t>
      </w:r>
      <w:proofErr w:type="gramEnd"/>
      <w:r w:rsidRPr="0068011F">
        <w:rPr>
          <w:rFonts w:ascii="Tahoma" w:hAnsi="Tahoma" w:cs="Tahoma"/>
          <w:sz w:val="21"/>
          <w:szCs w:val="21"/>
        </w:rPr>
        <w:t xml:space="preserve"> 51814.3 или VDA 4);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- анализ и оценка приемлемости измерительных и контрольных процессов (приложение MSA к QS 9000, ГОСТ </w:t>
      </w:r>
      <w:proofErr w:type="gramStart"/>
      <w:r w:rsidRPr="0068011F">
        <w:rPr>
          <w:rFonts w:ascii="Tahoma" w:hAnsi="Tahoma" w:cs="Tahoma"/>
          <w:sz w:val="21"/>
          <w:szCs w:val="21"/>
        </w:rPr>
        <w:t>Р</w:t>
      </w:r>
      <w:proofErr w:type="gramEnd"/>
      <w:r w:rsidRPr="0068011F">
        <w:rPr>
          <w:rFonts w:ascii="Tahoma" w:hAnsi="Tahoma" w:cs="Tahoma"/>
          <w:sz w:val="21"/>
          <w:szCs w:val="21"/>
        </w:rPr>
        <w:t xml:space="preserve"> 51814.5 или VDA 4)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и другие методы и процедуры, нацеленные на заблаговременное обеспечение качества и пр</w:t>
      </w:r>
      <w:r w:rsidRPr="0068011F">
        <w:rPr>
          <w:rFonts w:ascii="Tahoma" w:hAnsi="Tahoma" w:cs="Tahoma"/>
          <w:sz w:val="21"/>
          <w:szCs w:val="21"/>
        </w:rPr>
        <w:t>е</w:t>
      </w:r>
      <w:r w:rsidRPr="0068011F">
        <w:rPr>
          <w:rFonts w:ascii="Tahoma" w:hAnsi="Tahoma" w:cs="Tahoma"/>
          <w:sz w:val="21"/>
          <w:szCs w:val="21"/>
        </w:rPr>
        <w:t>дупреждение несоответствий.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Себестоимость и цена комплектующих и материалов, а также других конечных услуг в адрес Покупателя определяется при согласовании цены. Все виды контроля, встроенные после согласования цены на изделие, материал, услугу, являются финансовой ответственностью Поставщика.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Показатели качества продукта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lastRenderedPageBreak/>
        <w:t>Поставщик обязан определить ключевые характеристики продукта в рамках проведения анал</w:t>
      </w:r>
      <w:r w:rsidRPr="0068011F">
        <w:rPr>
          <w:rFonts w:ascii="Tahoma" w:hAnsi="Tahoma" w:cs="Tahoma"/>
          <w:sz w:val="21"/>
          <w:szCs w:val="21"/>
        </w:rPr>
        <w:t>и</w:t>
      </w:r>
      <w:r w:rsidRPr="0068011F">
        <w:rPr>
          <w:rFonts w:ascii="Tahoma" w:hAnsi="Tahoma" w:cs="Tahoma"/>
          <w:sz w:val="21"/>
          <w:szCs w:val="21"/>
        </w:rPr>
        <w:t>за видов и последствий потенциальных дефектов (FMEA) с учётом требований Покупателя и соглас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вать эти характеристики с ЦКР и КБ Покупателя.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5. Требования к хранению документации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Поставщик обязан обеспечить сохранение документации, связанной с разработкой и подгото</w:t>
      </w:r>
      <w:r w:rsidRPr="0068011F">
        <w:rPr>
          <w:rFonts w:ascii="Tahoma" w:hAnsi="Tahoma" w:cs="Tahoma"/>
          <w:sz w:val="21"/>
          <w:szCs w:val="21"/>
        </w:rPr>
        <w:t>в</w:t>
      </w:r>
      <w:r w:rsidRPr="0068011F">
        <w:rPr>
          <w:rFonts w:ascii="Tahoma" w:hAnsi="Tahoma" w:cs="Tahoma"/>
          <w:sz w:val="21"/>
          <w:szCs w:val="21"/>
        </w:rPr>
        <w:t>кой к серийному производству продукции, в течение 12 лет с момента получения Покупателем после</w:t>
      </w:r>
      <w:r w:rsidRPr="0068011F">
        <w:rPr>
          <w:rFonts w:ascii="Tahoma" w:hAnsi="Tahoma" w:cs="Tahoma"/>
          <w:sz w:val="21"/>
          <w:szCs w:val="21"/>
        </w:rPr>
        <w:t>д</w:t>
      </w:r>
      <w:r w:rsidRPr="0068011F">
        <w:rPr>
          <w:rFonts w:ascii="Tahoma" w:hAnsi="Tahoma" w:cs="Tahoma"/>
          <w:sz w:val="21"/>
          <w:szCs w:val="21"/>
        </w:rPr>
        <w:t xml:space="preserve">ней поставки. 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К такой документации относятся: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договоры, дополнительные соглашения и другие взаимные договорённости;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переписка между Поставщиком и Покупателем;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документы, содержащие требования Покупателя;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документы, содержащие результаты испытаний продукции;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документы, требуемые процессом PPAP;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документы, содержащие результаты контроля ключевых характеристик;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документы, содержащие результаты выходного контроля;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документы, содержащие результаты анализа причин, принятые решения и их эффе</w:t>
      </w:r>
      <w:r w:rsidRPr="0068011F">
        <w:rPr>
          <w:rFonts w:ascii="Tahoma" w:hAnsi="Tahoma" w:cs="Tahoma"/>
          <w:sz w:val="21"/>
          <w:szCs w:val="21"/>
        </w:rPr>
        <w:t>к</w:t>
      </w:r>
      <w:r w:rsidRPr="0068011F">
        <w:rPr>
          <w:rFonts w:ascii="Tahoma" w:hAnsi="Tahoma" w:cs="Tahoma"/>
          <w:sz w:val="21"/>
          <w:szCs w:val="21"/>
        </w:rPr>
        <w:t>тивность при возникновении проблем с качеством;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документы, содержащие результаты мониторинга качества продукции в период её эк</w:t>
      </w:r>
      <w:r w:rsidRPr="0068011F">
        <w:rPr>
          <w:rFonts w:ascii="Tahoma" w:hAnsi="Tahoma" w:cs="Tahoma"/>
          <w:sz w:val="21"/>
          <w:szCs w:val="21"/>
        </w:rPr>
        <w:t>с</w:t>
      </w:r>
      <w:r w:rsidRPr="0068011F">
        <w:rPr>
          <w:rFonts w:ascii="Tahoma" w:hAnsi="Tahoma" w:cs="Tahoma"/>
          <w:sz w:val="21"/>
          <w:szCs w:val="21"/>
        </w:rPr>
        <w:t>плуатации.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6. Одобрение серийного производства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Право на производство и серийную поставку продукции предоставляется Поставщику в рамках процесса одобрения серийного производства в соответствии с ГОСТ </w:t>
      </w:r>
      <w:proofErr w:type="gramStart"/>
      <w:r w:rsidRPr="0068011F">
        <w:rPr>
          <w:rFonts w:ascii="Tahoma" w:hAnsi="Tahoma" w:cs="Tahoma"/>
          <w:sz w:val="21"/>
          <w:szCs w:val="21"/>
        </w:rPr>
        <w:t>Р</w:t>
      </w:r>
      <w:proofErr w:type="gramEnd"/>
      <w:r w:rsidRPr="0068011F">
        <w:rPr>
          <w:rFonts w:ascii="Tahoma" w:hAnsi="Tahoma" w:cs="Tahoma"/>
          <w:sz w:val="21"/>
          <w:szCs w:val="21"/>
        </w:rPr>
        <w:t> 51814.4 (для Поставщиков-резидентов и расположенных на территории СНГ), VDA2 или приложений к стандарту QS 9000 (для П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ставщиков-нерезидентов).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Результатом выполнения процесса одобрения серийного производства является один из сл</w:t>
      </w:r>
      <w:r w:rsidRPr="0068011F">
        <w:rPr>
          <w:rFonts w:ascii="Tahoma" w:hAnsi="Tahoma" w:cs="Tahoma"/>
          <w:sz w:val="21"/>
          <w:szCs w:val="21"/>
        </w:rPr>
        <w:t>е</w:t>
      </w:r>
      <w:r w:rsidRPr="0068011F">
        <w:rPr>
          <w:rFonts w:ascii="Tahoma" w:hAnsi="Tahoma" w:cs="Tahoma"/>
          <w:sz w:val="21"/>
          <w:szCs w:val="21"/>
        </w:rPr>
        <w:t>дующих итогов: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полное одобрение серийного производства;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временное одобрение серийного производства (на определённый Покупателем срок или размер партии). 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При этом Поставщик обязан разработать план мероприятий по корректировке несоответствий и устранению их причин, который должен быть направлен инженеру по качеству Покупателя. Меропри</w:t>
      </w:r>
      <w:r w:rsidRPr="0068011F">
        <w:rPr>
          <w:rFonts w:ascii="Tahoma" w:hAnsi="Tahoma" w:cs="Tahoma"/>
          <w:sz w:val="21"/>
          <w:szCs w:val="21"/>
        </w:rPr>
        <w:t>я</w:t>
      </w:r>
      <w:r w:rsidRPr="0068011F">
        <w:rPr>
          <w:rFonts w:ascii="Tahoma" w:hAnsi="Tahoma" w:cs="Tahoma"/>
          <w:sz w:val="21"/>
          <w:szCs w:val="21"/>
        </w:rPr>
        <w:t>тия по корректировке несоответствий и устранению их причин должны быть реализованы с подтве</w:t>
      </w:r>
      <w:r w:rsidRPr="0068011F">
        <w:rPr>
          <w:rFonts w:ascii="Tahoma" w:hAnsi="Tahoma" w:cs="Tahoma"/>
          <w:sz w:val="21"/>
          <w:szCs w:val="21"/>
        </w:rPr>
        <w:t>р</w:t>
      </w:r>
      <w:r w:rsidRPr="0068011F">
        <w:rPr>
          <w:rFonts w:ascii="Tahoma" w:hAnsi="Tahoma" w:cs="Tahoma"/>
          <w:sz w:val="21"/>
          <w:szCs w:val="21"/>
        </w:rPr>
        <w:t>ждением их эффективности до окончания срока временного одобрения, установленного Покупателем.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запрет на серийное производство.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7. Оценка рисков (FMEA)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Поставщик обязан проводить анализ рисков возникновения дефектов на стадии проектиров</w:t>
      </w:r>
      <w:r w:rsidRPr="0068011F">
        <w:rPr>
          <w:rFonts w:ascii="Tahoma" w:hAnsi="Tahoma" w:cs="Tahoma"/>
          <w:sz w:val="21"/>
          <w:szCs w:val="21"/>
        </w:rPr>
        <w:t>а</w:t>
      </w:r>
      <w:r w:rsidRPr="0068011F">
        <w:rPr>
          <w:rFonts w:ascii="Tahoma" w:hAnsi="Tahoma" w:cs="Tahoma"/>
          <w:sz w:val="21"/>
          <w:szCs w:val="21"/>
        </w:rPr>
        <w:t>ния и разработки продукции и технологических процессов в соответствии с ГОСТ </w:t>
      </w:r>
      <w:proofErr w:type="gramStart"/>
      <w:r w:rsidRPr="0068011F">
        <w:rPr>
          <w:rFonts w:ascii="Tahoma" w:hAnsi="Tahoma" w:cs="Tahoma"/>
          <w:sz w:val="21"/>
          <w:szCs w:val="21"/>
        </w:rPr>
        <w:t>Р</w:t>
      </w:r>
      <w:proofErr w:type="gramEnd"/>
      <w:r w:rsidRPr="0068011F">
        <w:rPr>
          <w:rFonts w:ascii="Tahoma" w:hAnsi="Tahoma" w:cs="Tahoma"/>
          <w:sz w:val="21"/>
          <w:szCs w:val="21"/>
        </w:rPr>
        <w:t> 51814.2 (для П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 xml:space="preserve">ставщиков-резидентов и расположенных на территории СНГ), VDA 4 или приложений к стандарту QS 9000 (для Поставщиков-нерезидентов). Граница ПЧР (RPN) устанавливается на уровне, равном 125. 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Поставщикам при проведении анализа рисков рекомендуется использовать оценочные таблицы, приведенные в приложении FMEA к QS 9000, ГОСТ </w:t>
      </w:r>
      <w:proofErr w:type="gramStart"/>
      <w:r w:rsidRPr="0068011F">
        <w:rPr>
          <w:rFonts w:ascii="Tahoma" w:hAnsi="Tahoma" w:cs="Tahoma"/>
          <w:sz w:val="21"/>
          <w:szCs w:val="21"/>
        </w:rPr>
        <w:t>Р</w:t>
      </w:r>
      <w:proofErr w:type="gramEnd"/>
      <w:r w:rsidRPr="0068011F">
        <w:rPr>
          <w:rFonts w:ascii="Tahoma" w:hAnsi="Tahoma" w:cs="Tahoma"/>
          <w:sz w:val="21"/>
          <w:szCs w:val="21"/>
        </w:rPr>
        <w:t> 51814.2 или VDA 4.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8. Управление изменениями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Поставщик обязан разработать, внедрить и поддерживать в рабочем состоянии процесс упра</w:t>
      </w:r>
      <w:r w:rsidRPr="0068011F">
        <w:rPr>
          <w:rFonts w:ascii="Tahoma" w:hAnsi="Tahoma" w:cs="Tahoma"/>
          <w:sz w:val="21"/>
          <w:szCs w:val="21"/>
        </w:rPr>
        <w:t>в</w:t>
      </w:r>
      <w:r w:rsidRPr="0068011F">
        <w:rPr>
          <w:rFonts w:ascii="Tahoma" w:hAnsi="Tahoma" w:cs="Tahoma"/>
          <w:sz w:val="21"/>
          <w:szCs w:val="21"/>
        </w:rPr>
        <w:t>ления изменениями. Поставщик обязан получить подтверждение соответствия продукции и процессов требованиям по качеству, установленным Покупателем, и получить право на производство и серийную поставку продукции в соответствии с п.6 в следующих случаях: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внесение изменений в чертежи, спецификации, материалы поставляемой продукции;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замена конструкции или материала поставляемой продукции;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изготовление поставляемой продукции с применением новых или модифицированных инструментов или оснастки (исключая </w:t>
      </w:r>
      <w:proofErr w:type="gramStart"/>
      <w:r w:rsidRPr="0068011F">
        <w:rPr>
          <w:rFonts w:ascii="Tahoma" w:hAnsi="Tahoma" w:cs="Tahoma"/>
          <w:sz w:val="21"/>
          <w:szCs w:val="21"/>
        </w:rPr>
        <w:t>быстроизнашивающуюся</w:t>
      </w:r>
      <w:proofErr w:type="gramEnd"/>
      <w:r w:rsidRPr="0068011F">
        <w:rPr>
          <w:rFonts w:ascii="Tahoma" w:hAnsi="Tahoma" w:cs="Tahoma"/>
          <w:sz w:val="21"/>
          <w:szCs w:val="21"/>
        </w:rPr>
        <w:t>), а также в условиях капитал</w:t>
      </w:r>
      <w:r w:rsidRPr="0068011F">
        <w:rPr>
          <w:rFonts w:ascii="Tahoma" w:hAnsi="Tahoma" w:cs="Tahoma"/>
          <w:sz w:val="21"/>
          <w:szCs w:val="21"/>
        </w:rPr>
        <w:t>ь</w:t>
      </w:r>
      <w:r w:rsidRPr="0068011F">
        <w:rPr>
          <w:rFonts w:ascii="Tahoma" w:hAnsi="Tahoma" w:cs="Tahoma"/>
          <w:sz w:val="21"/>
          <w:szCs w:val="21"/>
        </w:rPr>
        <w:t xml:space="preserve">ного ремонта или </w:t>
      </w:r>
      <w:proofErr w:type="spellStart"/>
      <w:r w:rsidRPr="0068011F">
        <w:rPr>
          <w:rFonts w:ascii="Tahoma" w:hAnsi="Tahoma" w:cs="Tahoma"/>
          <w:sz w:val="21"/>
          <w:szCs w:val="21"/>
        </w:rPr>
        <w:t>перемонтажа</w:t>
      </w:r>
      <w:proofErr w:type="spellEnd"/>
      <w:r w:rsidRPr="0068011F">
        <w:rPr>
          <w:rFonts w:ascii="Tahoma" w:hAnsi="Tahoma" w:cs="Tahoma"/>
          <w:sz w:val="21"/>
          <w:szCs w:val="21"/>
        </w:rPr>
        <w:t xml:space="preserve"> оборудования и оснастки для производства продукции;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lastRenderedPageBreak/>
        <w:t>любое изменение процесса или технологии производства продукции;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изготовление продукции после переноса оснастки или оборудования в другое место предприятия или во вспомогательное помещение;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изготовление продукции в условиях изменения материалов или услуг субпоставщика (например, термообработка, покрытия), а также в условиях изменения самого субпоставщика;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проверка продукции по изменённым методам контроля и испытаний (например, новая методика);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возобновление производства продукции после значительного перерыва (более 12 м</w:t>
      </w:r>
      <w:r w:rsidRPr="0068011F">
        <w:rPr>
          <w:rFonts w:ascii="Tahoma" w:hAnsi="Tahoma" w:cs="Tahoma"/>
          <w:sz w:val="21"/>
          <w:szCs w:val="21"/>
        </w:rPr>
        <w:t>е</w:t>
      </w:r>
      <w:r w:rsidRPr="0068011F">
        <w:rPr>
          <w:rFonts w:ascii="Tahoma" w:hAnsi="Tahoma" w:cs="Tahoma"/>
          <w:sz w:val="21"/>
          <w:szCs w:val="21"/>
        </w:rPr>
        <w:t>сяцев).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9. Предупреждение несоответствий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Поставщики, не имеющие сертификатов соответствия ГОСТ </w:t>
      </w:r>
      <w:r w:rsidRPr="0068011F">
        <w:rPr>
          <w:rFonts w:ascii="Tahoma" w:hAnsi="Tahoma" w:cs="Tahoma"/>
          <w:sz w:val="21"/>
          <w:szCs w:val="21"/>
          <w:lang w:val="en-US"/>
        </w:rPr>
        <w:t>ISO</w:t>
      </w:r>
      <w:r w:rsidRPr="0068011F">
        <w:rPr>
          <w:rFonts w:ascii="Tahoma" w:hAnsi="Tahoma" w:cs="Tahoma"/>
          <w:sz w:val="21"/>
          <w:szCs w:val="21"/>
        </w:rPr>
        <w:t xml:space="preserve"> 9001 (ISO 9001), должны пр</w:t>
      </w:r>
      <w:r w:rsidRPr="0068011F">
        <w:rPr>
          <w:rFonts w:ascii="Tahoma" w:hAnsi="Tahoma" w:cs="Tahoma"/>
          <w:sz w:val="21"/>
          <w:szCs w:val="21"/>
        </w:rPr>
        <w:t>е</w:t>
      </w:r>
      <w:r w:rsidRPr="0068011F">
        <w:rPr>
          <w:rFonts w:ascii="Tahoma" w:hAnsi="Tahoma" w:cs="Tahoma"/>
          <w:sz w:val="21"/>
          <w:szCs w:val="21"/>
        </w:rPr>
        <w:t>доставить план подготовки и проведения сертификации в течение 1 года от даты номинации к поста</w:t>
      </w:r>
      <w:r w:rsidRPr="0068011F">
        <w:rPr>
          <w:rFonts w:ascii="Tahoma" w:hAnsi="Tahoma" w:cs="Tahoma"/>
          <w:sz w:val="21"/>
          <w:szCs w:val="21"/>
        </w:rPr>
        <w:t>в</w:t>
      </w:r>
      <w:r w:rsidRPr="0068011F">
        <w:rPr>
          <w:rFonts w:ascii="Tahoma" w:hAnsi="Tahoma" w:cs="Tahoma"/>
          <w:sz w:val="21"/>
          <w:szCs w:val="21"/>
        </w:rPr>
        <w:t>кам.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Поставщик должен придерживаться требований следующих документов Покупателя: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Процедура и анкета по оценке системы качества поставщика (последней версии);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Процедура и анкета по аудиту процесса и продукта Поставщика;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Инструкция по решению проблем Поставщиков. Порядок действий при выявлении н</w:t>
      </w:r>
      <w:r w:rsidRPr="0068011F">
        <w:rPr>
          <w:rFonts w:ascii="Tahoma" w:hAnsi="Tahoma" w:cs="Tahoma"/>
          <w:sz w:val="21"/>
          <w:szCs w:val="21"/>
        </w:rPr>
        <w:t>е</w:t>
      </w:r>
      <w:r w:rsidRPr="0068011F">
        <w:rPr>
          <w:rFonts w:ascii="Tahoma" w:hAnsi="Tahoma" w:cs="Tahoma"/>
          <w:sz w:val="21"/>
          <w:szCs w:val="21"/>
        </w:rPr>
        <w:t>соответствий покупных комплектующих и материалов при серийных поставках.</w:t>
      </w:r>
    </w:p>
    <w:p w:rsidR="00521035" w:rsidRPr="0068011F" w:rsidRDefault="00521035" w:rsidP="000E0768">
      <w:pPr>
        <w:tabs>
          <w:tab w:val="left" w:pos="993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Поставщик обязан разработать и применять действия, направленные на предупреждение нес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ответствий. В числе прочих к таким действиям относятся: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перспективное планирование качества продукции и разработка планов управления к</w:t>
      </w:r>
      <w:r w:rsidRPr="0068011F">
        <w:rPr>
          <w:rFonts w:ascii="Tahoma" w:hAnsi="Tahoma" w:cs="Tahoma"/>
          <w:sz w:val="21"/>
          <w:szCs w:val="21"/>
        </w:rPr>
        <w:t>а</w:t>
      </w:r>
      <w:r w:rsidRPr="0068011F">
        <w:rPr>
          <w:rFonts w:ascii="Tahoma" w:hAnsi="Tahoma" w:cs="Tahoma"/>
          <w:sz w:val="21"/>
          <w:szCs w:val="21"/>
        </w:rPr>
        <w:t>чеством (APQP/CP);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анализ видов и последствий потенциальных дефектов (FMEA);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индивидуальный подход к разработке программ и методик тестирования и испытаний продукции;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разработка планов управления;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планирование и проведение аудитов процессов и аудитов продуктов;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применение статистических методов управления качеством с последующим анализом и разработкой мероприятий по улучшению процессов.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10. Информирование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В случае</w:t>
      </w:r>
      <w:proofErr w:type="gramStart"/>
      <w:r w:rsidRPr="0068011F">
        <w:rPr>
          <w:rFonts w:ascii="Tahoma" w:hAnsi="Tahoma" w:cs="Tahoma"/>
          <w:sz w:val="21"/>
          <w:szCs w:val="21"/>
        </w:rPr>
        <w:t>,</w:t>
      </w:r>
      <w:proofErr w:type="gramEnd"/>
      <w:r w:rsidRPr="0068011F">
        <w:rPr>
          <w:rFonts w:ascii="Tahoma" w:hAnsi="Tahoma" w:cs="Tahoma"/>
          <w:sz w:val="21"/>
          <w:szCs w:val="21"/>
        </w:rPr>
        <w:t xml:space="preserve"> если Поставщиком выявлены факты, ставящие под сомнение соответствие партии продукции, отправленной в адрес Покупателя, Поставщик обязан незамедлительно (не более 24 часов) информировать об этом Директора по Качеству (Службу качества) и Директора по закупкам (ОМТС) Покупателя.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11. Работа с рекламациями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Решение проблем при поставках регулируется Инструкцией по решению проблем Поставщиков с применением отчетности по форме 8D, режимами контролируемых поставок и запрета на серийную закупку.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Поставщик должен применять техники определения причин: диаграмма </w:t>
      </w:r>
      <w:proofErr w:type="spellStart"/>
      <w:r w:rsidRPr="0068011F">
        <w:rPr>
          <w:rFonts w:ascii="Tahoma" w:hAnsi="Tahoma" w:cs="Tahoma"/>
          <w:sz w:val="21"/>
          <w:szCs w:val="21"/>
        </w:rPr>
        <w:t>Исикавы</w:t>
      </w:r>
      <w:proofErr w:type="spellEnd"/>
      <w:r w:rsidRPr="0068011F">
        <w:rPr>
          <w:rFonts w:ascii="Tahoma" w:hAnsi="Tahoma" w:cs="Tahoma"/>
          <w:sz w:val="21"/>
          <w:szCs w:val="21"/>
        </w:rPr>
        <w:t>, диаграмма Парето, «5 ПОЧЕМУ» и др. более сложные техники, внедренные у Поставщика.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В случае поставки несоответствующей продукции или получения претензии со стороны Покуп</w:t>
      </w:r>
      <w:r w:rsidRPr="0068011F">
        <w:rPr>
          <w:rFonts w:ascii="Tahoma" w:hAnsi="Tahoma" w:cs="Tahoma"/>
          <w:sz w:val="21"/>
          <w:szCs w:val="21"/>
        </w:rPr>
        <w:t>а</w:t>
      </w:r>
      <w:r w:rsidRPr="0068011F">
        <w:rPr>
          <w:rFonts w:ascii="Tahoma" w:hAnsi="Tahoma" w:cs="Tahoma"/>
          <w:sz w:val="21"/>
          <w:szCs w:val="21"/>
        </w:rPr>
        <w:t xml:space="preserve">теля, Поставщик обязан инициировать метод анализа рекламаций и заполнить отчёт по форме 8D. При этом Поставщик обязан предоставлять инженеру по качеству Службы качества </w:t>
      </w:r>
      <w:proofErr w:type="gramStart"/>
      <w:r w:rsidRPr="0068011F">
        <w:rPr>
          <w:rFonts w:ascii="Tahoma" w:hAnsi="Tahoma" w:cs="Tahoma"/>
          <w:sz w:val="21"/>
          <w:szCs w:val="21"/>
        </w:rPr>
        <w:t>Покупателя</w:t>
      </w:r>
      <w:proofErr w:type="gramEnd"/>
      <w:r w:rsidRPr="0068011F">
        <w:rPr>
          <w:rFonts w:ascii="Tahoma" w:hAnsi="Tahoma" w:cs="Tahoma"/>
          <w:sz w:val="21"/>
          <w:szCs w:val="21"/>
        </w:rPr>
        <w:t xml:space="preserve"> заполне</w:t>
      </w:r>
      <w:r w:rsidRPr="0068011F">
        <w:rPr>
          <w:rFonts w:ascii="Tahoma" w:hAnsi="Tahoma" w:cs="Tahoma"/>
          <w:sz w:val="21"/>
          <w:szCs w:val="21"/>
        </w:rPr>
        <w:t>н</w:t>
      </w:r>
      <w:r w:rsidRPr="0068011F">
        <w:rPr>
          <w:rFonts w:ascii="Tahoma" w:hAnsi="Tahoma" w:cs="Tahoma"/>
          <w:sz w:val="21"/>
          <w:szCs w:val="21"/>
        </w:rPr>
        <w:t>ные отчёты, включая: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Этап D0 – в течение 12 часов;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Этап D3 – в течение 48 часов;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Этап D4 – в течение 14 дней, если не согласовано иное;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Этап D8 – в течение 30 дней;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Отчет об эффективности внедренных мероприятий в течение 10 дней от даты внедр</w:t>
      </w:r>
      <w:r w:rsidRPr="0068011F">
        <w:rPr>
          <w:rFonts w:ascii="Tahoma" w:hAnsi="Tahoma" w:cs="Tahoma"/>
          <w:sz w:val="21"/>
          <w:szCs w:val="21"/>
        </w:rPr>
        <w:t>е</w:t>
      </w:r>
      <w:r w:rsidRPr="0068011F">
        <w:rPr>
          <w:rFonts w:ascii="Tahoma" w:hAnsi="Tahoma" w:cs="Tahoma"/>
          <w:sz w:val="21"/>
          <w:szCs w:val="21"/>
        </w:rPr>
        <w:t>ния по плану 8D.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lastRenderedPageBreak/>
        <w:t>Безусловным требованием во всех случаях рекламаций является организация Поставщиком следующих действий для исключения простоев конвейера Покупателя: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Локализация несоответствующей продукции в течение 24 часов на всех этапах жи</w:t>
      </w:r>
      <w:r w:rsidRPr="0068011F">
        <w:rPr>
          <w:rFonts w:ascii="Tahoma" w:hAnsi="Tahoma" w:cs="Tahoma"/>
          <w:sz w:val="21"/>
          <w:szCs w:val="21"/>
        </w:rPr>
        <w:t>з</w:t>
      </w:r>
      <w:r w:rsidRPr="0068011F">
        <w:rPr>
          <w:rFonts w:ascii="Tahoma" w:hAnsi="Tahoma" w:cs="Tahoma"/>
          <w:sz w:val="21"/>
          <w:szCs w:val="21"/>
        </w:rPr>
        <w:t>ненного цикла продукции (в производстве Поставщика, на складе Поставщика, в пути, на скл</w:t>
      </w:r>
      <w:r w:rsidRPr="0068011F">
        <w:rPr>
          <w:rFonts w:ascii="Tahoma" w:hAnsi="Tahoma" w:cs="Tahoma"/>
          <w:sz w:val="21"/>
          <w:szCs w:val="21"/>
        </w:rPr>
        <w:t>а</w:t>
      </w:r>
      <w:r w:rsidRPr="0068011F">
        <w:rPr>
          <w:rFonts w:ascii="Tahoma" w:hAnsi="Tahoma" w:cs="Tahoma"/>
          <w:sz w:val="21"/>
          <w:szCs w:val="21"/>
        </w:rPr>
        <w:t>де Покупателя, производстве Покупателя, на складе готовой продукции Покупателя, в т.ч. на площадках дилеров);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Организация 100% контроля на отсутствие выявленного отклонения и отчетности П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купателя на все время до внедрения корректирующих мероприятий – контролируемые поставки 1-го уровня (КП</w:t>
      </w:r>
      <w:proofErr w:type="gramStart"/>
      <w:r w:rsidRPr="0068011F">
        <w:rPr>
          <w:rFonts w:ascii="Tahoma" w:hAnsi="Tahoma" w:cs="Tahoma"/>
          <w:sz w:val="21"/>
          <w:szCs w:val="21"/>
        </w:rPr>
        <w:t>1</w:t>
      </w:r>
      <w:proofErr w:type="gramEnd"/>
      <w:r w:rsidRPr="0068011F">
        <w:rPr>
          <w:rFonts w:ascii="Tahoma" w:hAnsi="Tahoma" w:cs="Tahoma"/>
          <w:sz w:val="21"/>
          <w:szCs w:val="21"/>
        </w:rPr>
        <w:t>);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Выезд к Покупателю для принятия решений по действиям с несоответствующей пр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дукцией в течение 24 часов;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Замена несоответствующей продукции на </w:t>
      </w:r>
      <w:proofErr w:type="gramStart"/>
      <w:r w:rsidRPr="0068011F">
        <w:rPr>
          <w:rFonts w:ascii="Tahoma" w:hAnsi="Tahoma" w:cs="Tahoma"/>
          <w:sz w:val="21"/>
          <w:szCs w:val="21"/>
        </w:rPr>
        <w:t>соответствующую</w:t>
      </w:r>
      <w:proofErr w:type="gramEnd"/>
      <w:r w:rsidRPr="0068011F">
        <w:rPr>
          <w:rFonts w:ascii="Tahoma" w:hAnsi="Tahoma" w:cs="Tahoma"/>
          <w:sz w:val="21"/>
          <w:szCs w:val="21"/>
        </w:rPr>
        <w:t xml:space="preserve"> в течение 10 (десяти) к</w:t>
      </w:r>
      <w:r w:rsidRPr="0068011F">
        <w:rPr>
          <w:rFonts w:ascii="Tahoma" w:hAnsi="Tahoma" w:cs="Tahoma"/>
          <w:sz w:val="21"/>
          <w:szCs w:val="21"/>
        </w:rPr>
        <w:t>а</w:t>
      </w:r>
      <w:r w:rsidRPr="0068011F">
        <w:rPr>
          <w:rFonts w:ascii="Tahoma" w:hAnsi="Tahoma" w:cs="Tahoma"/>
          <w:sz w:val="21"/>
          <w:szCs w:val="21"/>
        </w:rPr>
        <w:t>лендарных дней с момента уведомления Поставщика о несоответствии;</w:t>
      </w:r>
    </w:p>
    <w:p w:rsidR="00521035" w:rsidRPr="0068011F" w:rsidRDefault="00521035" w:rsidP="000E0768">
      <w:pPr>
        <w:numPr>
          <w:ilvl w:val="0"/>
          <w:numId w:val="1"/>
        </w:numPr>
        <w:tabs>
          <w:tab w:val="left" w:pos="993"/>
          <w:tab w:val="left" w:pos="1560"/>
        </w:tabs>
        <w:spacing w:after="0"/>
        <w:ind w:left="709"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В течение следующих трех месяцев поставок Поставщик обязуется производить отгру</w:t>
      </w:r>
      <w:r w:rsidRPr="0068011F">
        <w:rPr>
          <w:rFonts w:ascii="Tahoma" w:hAnsi="Tahoma" w:cs="Tahoma"/>
          <w:sz w:val="21"/>
          <w:szCs w:val="21"/>
        </w:rPr>
        <w:t>з</w:t>
      </w:r>
      <w:r w:rsidRPr="0068011F">
        <w:rPr>
          <w:rFonts w:ascii="Tahoma" w:hAnsi="Tahoma" w:cs="Tahoma"/>
          <w:sz w:val="21"/>
          <w:szCs w:val="21"/>
        </w:rPr>
        <w:t xml:space="preserve">ку продукции с </w:t>
      </w:r>
      <w:proofErr w:type="spellStart"/>
      <w:proofErr w:type="gramStart"/>
      <w:r w:rsidRPr="0068011F">
        <w:rPr>
          <w:rFonts w:ascii="Tahoma" w:hAnsi="Tahoma" w:cs="Tahoma"/>
          <w:sz w:val="21"/>
          <w:szCs w:val="21"/>
        </w:rPr>
        <w:t>чек-листом</w:t>
      </w:r>
      <w:proofErr w:type="spellEnd"/>
      <w:proofErr w:type="gramEnd"/>
      <w:r w:rsidRPr="0068011F">
        <w:rPr>
          <w:rFonts w:ascii="Tahoma" w:hAnsi="Tahoma" w:cs="Tahoma"/>
          <w:sz w:val="21"/>
          <w:szCs w:val="21"/>
        </w:rPr>
        <w:t xml:space="preserve"> контроля отсутствия отклонений, где указывается следующая и</w:t>
      </w:r>
      <w:r w:rsidRPr="0068011F">
        <w:rPr>
          <w:rFonts w:ascii="Tahoma" w:hAnsi="Tahoma" w:cs="Tahoma"/>
          <w:sz w:val="21"/>
          <w:szCs w:val="21"/>
        </w:rPr>
        <w:t>н</w:t>
      </w:r>
      <w:r w:rsidRPr="0068011F">
        <w:rPr>
          <w:rFonts w:ascii="Tahoma" w:hAnsi="Tahoma" w:cs="Tahoma"/>
          <w:sz w:val="21"/>
          <w:szCs w:val="21"/>
        </w:rPr>
        <w:t xml:space="preserve">формация: </w:t>
      </w:r>
    </w:p>
    <w:p w:rsidR="00521035" w:rsidRPr="0068011F" w:rsidRDefault="00521035" w:rsidP="000E0768">
      <w:pPr>
        <w:spacing w:after="0"/>
        <w:ind w:left="1418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- контролируемые параметры;</w:t>
      </w:r>
    </w:p>
    <w:p w:rsidR="00521035" w:rsidRPr="0068011F" w:rsidRDefault="00521035" w:rsidP="000E0768">
      <w:pPr>
        <w:spacing w:after="0"/>
        <w:ind w:left="1418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- средства измерения, контроля;</w:t>
      </w:r>
    </w:p>
    <w:p w:rsidR="00521035" w:rsidRPr="0068011F" w:rsidRDefault="00521035" w:rsidP="000E0768">
      <w:pPr>
        <w:spacing w:after="0"/>
        <w:ind w:left="1418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- дата контроля;</w:t>
      </w:r>
    </w:p>
    <w:p w:rsidR="00521035" w:rsidRPr="0068011F" w:rsidRDefault="00521035" w:rsidP="000E0768">
      <w:pPr>
        <w:spacing w:after="0"/>
        <w:ind w:left="1418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- клеймо/подпись контролера.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Поставщик обязан предоставлять любые данные по качеству (результаты периодических и приемо-сдаточных испытаний, отчеты по сходу годных деталей, уровень внутренней дефектности и др.) по требованию Покупателя. Эти данные могут потребоваться для определения тенденций и пр</w:t>
      </w:r>
      <w:r w:rsidRPr="0068011F">
        <w:rPr>
          <w:rFonts w:ascii="Tahoma" w:hAnsi="Tahoma" w:cs="Tahoma"/>
          <w:sz w:val="21"/>
          <w:szCs w:val="21"/>
        </w:rPr>
        <w:t>и</w:t>
      </w:r>
      <w:r w:rsidRPr="0068011F">
        <w:rPr>
          <w:rFonts w:ascii="Tahoma" w:hAnsi="Tahoma" w:cs="Tahoma"/>
          <w:sz w:val="21"/>
          <w:szCs w:val="21"/>
        </w:rPr>
        <w:t>чин проблем с качеством в производстве Покупателя.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12. Требования к субпоставщикам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Для постоянного улучшения процессов и продукции Поставщик обязан разработать и прим</w:t>
      </w:r>
      <w:r w:rsidRPr="0068011F">
        <w:rPr>
          <w:rFonts w:ascii="Tahoma" w:hAnsi="Tahoma" w:cs="Tahoma"/>
          <w:sz w:val="21"/>
          <w:szCs w:val="21"/>
        </w:rPr>
        <w:t>е</w:t>
      </w:r>
      <w:r w:rsidRPr="0068011F">
        <w:rPr>
          <w:rFonts w:ascii="Tahoma" w:hAnsi="Tahoma" w:cs="Tahoma"/>
          <w:sz w:val="21"/>
          <w:szCs w:val="21"/>
        </w:rPr>
        <w:t>нять аналогичные данному Соглашению требования в отношении своих поставщиков.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13. Бездефектная поставка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На основании предъявленных требований к качеству Поставщик обязан обеспечить нулевой уровень дефектности при входном контроле независимо от объёма контрольной выборки. 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14. Выходной контроль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Поставщик обязан согласовать с Покупателем методику выходного контроля продукции.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Покупатель оставляет за собой право проводит аудит процессов контроля у Поставщика, в том числе и процессов выходного контроля.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15. Тара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Поставщик обязан провести испытание тары на сохранность при транспортировке и погрузочно-разгрузочных работах до поставки первого образца и </w:t>
      </w:r>
      <w:proofErr w:type="gramStart"/>
      <w:r w:rsidRPr="0068011F">
        <w:rPr>
          <w:rFonts w:ascii="Tahoma" w:hAnsi="Tahoma" w:cs="Tahoma"/>
          <w:sz w:val="21"/>
          <w:szCs w:val="21"/>
        </w:rPr>
        <w:t>предоставить отчет</w:t>
      </w:r>
      <w:proofErr w:type="gramEnd"/>
      <w:r w:rsidRPr="0068011F">
        <w:rPr>
          <w:rFonts w:ascii="Tahoma" w:hAnsi="Tahoma" w:cs="Tahoma"/>
          <w:sz w:val="21"/>
          <w:szCs w:val="21"/>
        </w:rPr>
        <w:t xml:space="preserve"> о результатах испытаний П</w:t>
      </w:r>
      <w:r w:rsidRPr="0068011F">
        <w:rPr>
          <w:rFonts w:ascii="Tahoma" w:hAnsi="Tahoma" w:cs="Tahoma"/>
          <w:sz w:val="21"/>
          <w:szCs w:val="21"/>
        </w:rPr>
        <w:t>о</w:t>
      </w:r>
      <w:r w:rsidRPr="0068011F">
        <w:rPr>
          <w:rFonts w:ascii="Tahoma" w:hAnsi="Tahoma" w:cs="Tahoma"/>
          <w:sz w:val="21"/>
          <w:szCs w:val="21"/>
        </w:rPr>
        <w:t>купателю.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Окончательный тип (чертеж, материал изготовления) тары для серийных поставок согласов</w:t>
      </w:r>
      <w:r w:rsidRPr="0068011F">
        <w:rPr>
          <w:rFonts w:ascii="Tahoma" w:hAnsi="Tahoma" w:cs="Tahoma"/>
          <w:sz w:val="21"/>
          <w:szCs w:val="21"/>
        </w:rPr>
        <w:t>ы</w:t>
      </w:r>
      <w:r w:rsidRPr="0068011F">
        <w:rPr>
          <w:rFonts w:ascii="Tahoma" w:hAnsi="Tahoma" w:cs="Tahoma"/>
          <w:sz w:val="21"/>
          <w:szCs w:val="21"/>
        </w:rPr>
        <w:t>вается Покупателем после поставки первого образца.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16. Идентификация и </w:t>
      </w:r>
      <w:proofErr w:type="spellStart"/>
      <w:r w:rsidRPr="0068011F">
        <w:rPr>
          <w:rFonts w:ascii="Tahoma" w:hAnsi="Tahoma" w:cs="Tahoma"/>
          <w:sz w:val="21"/>
          <w:szCs w:val="21"/>
        </w:rPr>
        <w:t>прослеживаемость</w:t>
      </w:r>
      <w:proofErr w:type="spellEnd"/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Поставщик обязан для всех заказов Покупателя обеспечивать обратную </w:t>
      </w:r>
      <w:proofErr w:type="spellStart"/>
      <w:r w:rsidRPr="0068011F">
        <w:rPr>
          <w:rFonts w:ascii="Tahoma" w:hAnsi="Tahoma" w:cs="Tahoma"/>
          <w:sz w:val="21"/>
          <w:szCs w:val="21"/>
        </w:rPr>
        <w:t>прослеживаемость</w:t>
      </w:r>
      <w:proofErr w:type="spellEnd"/>
      <w:r w:rsidRPr="0068011F">
        <w:rPr>
          <w:rFonts w:ascii="Tahoma" w:hAnsi="Tahoma" w:cs="Tahoma"/>
          <w:sz w:val="21"/>
          <w:szCs w:val="21"/>
        </w:rPr>
        <w:t xml:space="preserve"> и идентификацию с точностью до партий и материалов или основных компонентов.</w:t>
      </w:r>
    </w:p>
    <w:p w:rsidR="00521035" w:rsidRPr="0068011F" w:rsidRDefault="00521035" w:rsidP="000E0768">
      <w:pPr>
        <w:tabs>
          <w:tab w:val="left" w:pos="1080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17. Оценка текущей деятельности поставщика</w:t>
      </w:r>
    </w:p>
    <w:p w:rsidR="00521035" w:rsidRPr="0068011F" w:rsidRDefault="00521035" w:rsidP="000E0768">
      <w:pPr>
        <w:tabs>
          <w:tab w:val="left" w:pos="1080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Оценка текущей деятельности Поставщика осуществляется путем автоматического расчета в тендерной таблице баллов по мониторингу Поставщика. 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Автоматический расчет в тендерной таблице баллов осуществляется по формуле: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Расчет баллов = 0,7 × &lt;Цена&gt; + 0,3 × &lt;КП&gt;, где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Цена – </w:t>
      </w:r>
      <w:r w:rsidRPr="0068011F">
        <w:rPr>
          <w:rFonts w:ascii="Tahoma" w:hAnsi="Tahoma" w:cs="Tahoma"/>
          <w:sz w:val="21"/>
          <w:szCs w:val="21"/>
          <w:lang w:val="en-US"/>
        </w:rPr>
        <w:t>min</w:t>
      </w:r>
      <w:r w:rsidRPr="0068011F">
        <w:rPr>
          <w:rFonts w:ascii="Tahoma" w:hAnsi="Tahoma" w:cs="Tahoma"/>
          <w:sz w:val="21"/>
          <w:szCs w:val="21"/>
        </w:rPr>
        <w:t xml:space="preserve"> цена ТМЦ за шт. (руб.)/цена ТМЦ поставщика (руб.);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КП – категория поставщика.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lastRenderedPageBreak/>
        <w:t>Автоматический расчет категории поставщика производится 1 числа каждого месяца по форм</w:t>
      </w:r>
      <w:r w:rsidRPr="0068011F">
        <w:rPr>
          <w:rFonts w:ascii="Tahoma" w:hAnsi="Tahoma" w:cs="Tahoma"/>
          <w:sz w:val="21"/>
          <w:szCs w:val="21"/>
        </w:rPr>
        <w:t>у</w:t>
      </w:r>
      <w:r w:rsidRPr="0068011F">
        <w:rPr>
          <w:rFonts w:ascii="Tahoma" w:hAnsi="Tahoma" w:cs="Tahoma"/>
          <w:sz w:val="21"/>
          <w:szCs w:val="21"/>
        </w:rPr>
        <w:t>ле: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КП = 0,35×(</w:t>
      </w:r>
      <w:r w:rsidRPr="0068011F">
        <w:rPr>
          <w:rFonts w:ascii="Tahoma" w:hAnsi="Tahoma" w:cs="Tahoma"/>
          <w:sz w:val="21"/>
          <w:szCs w:val="21"/>
          <w:lang w:val="en-US"/>
        </w:rPr>
        <w:t>PPM</w:t>
      </w:r>
      <w:r w:rsidRPr="0068011F">
        <w:rPr>
          <w:rFonts w:ascii="Tahoma" w:hAnsi="Tahoma" w:cs="Tahoma"/>
          <w:sz w:val="21"/>
          <w:szCs w:val="21"/>
        </w:rPr>
        <w:t>) + 0,3×(Цена) + 0,2×(Уровень СМК) + 0,1×(Срыв сроков) + 0,05×(Условия о</w:t>
      </w:r>
      <w:r w:rsidRPr="0068011F">
        <w:rPr>
          <w:rFonts w:ascii="Tahoma" w:hAnsi="Tahoma" w:cs="Tahoma"/>
          <w:sz w:val="21"/>
          <w:szCs w:val="21"/>
        </w:rPr>
        <w:t>п</w:t>
      </w:r>
      <w:r w:rsidRPr="0068011F">
        <w:rPr>
          <w:rFonts w:ascii="Tahoma" w:hAnsi="Tahoma" w:cs="Tahoma"/>
          <w:sz w:val="21"/>
          <w:szCs w:val="21"/>
        </w:rPr>
        <w:t>латы), где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  <w:lang w:val="en-US"/>
        </w:rPr>
        <w:t>PPM</w:t>
      </w:r>
      <w:r w:rsidRPr="0068011F">
        <w:rPr>
          <w:rFonts w:ascii="Tahoma" w:hAnsi="Tahoma" w:cs="Tahoma"/>
          <w:sz w:val="21"/>
          <w:szCs w:val="21"/>
        </w:rPr>
        <w:t xml:space="preserve"> = (Кол-во брак; шт.)/(кол-во поступления; шт.)×1000000 - критерий качества ТМЦ, рассч</w:t>
      </w:r>
      <w:r w:rsidRPr="0068011F">
        <w:rPr>
          <w:rFonts w:ascii="Tahoma" w:hAnsi="Tahoma" w:cs="Tahoma"/>
          <w:sz w:val="21"/>
          <w:szCs w:val="21"/>
        </w:rPr>
        <w:t>и</w:t>
      </w:r>
      <w:r w:rsidRPr="0068011F">
        <w:rPr>
          <w:rFonts w:ascii="Tahoma" w:hAnsi="Tahoma" w:cs="Tahoma"/>
          <w:sz w:val="21"/>
          <w:szCs w:val="21"/>
        </w:rPr>
        <w:t>тывается для последних 10 поставок;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Цена = (Кол-во наименований деталей, где цена мин)/(Кол-во наименований деталей) – крит</w:t>
      </w:r>
      <w:r w:rsidRPr="0068011F">
        <w:rPr>
          <w:rFonts w:ascii="Tahoma" w:hAnsi="Tahoma" w:cs="Tahoma"/>
          <w:sz w:val="21"/>
          <w:szCs w:val="21"/>
        </w:rPr>
        <w:t>е</w:t>
      </w:r>
      <w:r w:rsidRPr="0068011F">
        <w:rPr>
          <w:rFonts w:ascii="Tahoma" w:hAnsi="Tahoma" w:cs="Tahoma"/>
          <w:sz w:val="21"/>
          <w:szCs w:val="21"/>
        </w:rPr>
        <w:t>рий цены поставщика, рассчитывается для последних 10 тендеров;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 xml:space="preserve">Уровень СМК – уровень развития системы качества поставщика по результатам оценки (уровень </w:t>
      </w:r>
      <w:r w:rsidRPr="0068011F">
        <w:rPr>
          <w:rFonts w:ascii="Tahoma" w:hAnsi="Tahoma" w:cs="Tahoma"/>
          <w:sz w:val="21"/>
          <w:szCs w:val="21"/>
          <w:lang w:val="en-US"/>
        </w:rPr>
        <w:t>IV</w:t>
      </w:r>
      <w:r w:rsidRPr="0068011F">
        <w:rPr>
          <w:rFonts w:ascii="Tahoma" w:hAnsi="Tahoma" w:cs="Tahoma"/>
          <w:sz w:val="21"/>
          <w:szCs w:val="21"/>
        </w:rPr>
        <w:t xml:space="preserve">=1; уровень </w:t>
      </w:r>
      <w:r w:rsidRPr="0068011F">
        <w:rPr>
          <w:rFonts w:ascii="Tahoma" w:hAnsi="Tahoma" w:cs="Tahoma"/>
          <w:sz w:val="21"/>
          <w:szCs w:val="21"/>
          <w:lang w:val="en-US"/>
        </w:rPr>
        <w:t>III</w:t>
      </w:r>
      <w:r w:rsidRPr="0068011F">
        <w:rPr>
          <w:rFonts w:ascii="Tahoma" w:hAnsi="Tahoma" w:cs="Tahoma"/>
          <w:sz w:val="21"/>
          <w:szCs w:val="21"/>
        </w:rPr>
        <w:t xml:space="preserve">=0,75; уровень </w:t>
      </w:r>
      <w:r w:rsidRPr="0068011F">
        <w:rPr>
          <w:rFonts w:ascii="Tahoma" w:hAnsi="Tahoma" w:cs="Tahoma"/>
          <w:sz w:val="21"/>
          <w:szCs w:val="21"/>
          <w:lang w:val="en-US"/>
        </w:rPr>
        <w:t>II</w:t>
      </w:r>
      <w:r w:rsidRPr="0068011F">
        <w:rPr>
          <w:rFonts w:ascii="Tahoma" w:hAnsi="Tahoma" w:cs="Tahoma"/>
          <w:sz w:val="21"/>
          <w:szCs w:val="21"/>
        </w:rPr>
        <w:t xml:space="preserve">=0,5; уровень </w:t>
      </w:r>
      <w:r w:rsidRPr="0068011F">
        <w:rPr>
          <w:rFonts w:ascii="Tahoma" w:hAnsi="Tahoma" w:cs="Tahoma"/>
          <w:sz w:val="21"/>
          <w:szCs w:val="21"/>
          <w:lang w:val="en-US"/>
        </w:rPr>
        <w:t>I</w:t>
      </w:r>
      <w:r w:rsidRPr="0068011F">
        <w:rPr>
          <w:rFonts w:ascii="Tahoma" w:hAnsi="Tahoma" w:cs="Tahoma"/>
          <w:sz w:val="21"/>
          <w:szCs w:val="21"/>
        </w:rPr>
        <w:t>=0);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Срыв сроков – критерий выполнения сроков поставок, определяется 1-го числа месяца экспер</w:t>
      </w:r>
      <w:r w:rsidRPr="0068011F">
        <w:rPr>
          <w:rFonts w:ascii="Tahoma" w:hAnsi="Tahoma" w:cs="Tahoma"/>
          <w:sz w:val="21"/>
          <w:szCs w:val="21"/>
        </w:rPr>
        <w:t>т</w:t>
      </w:r>
      <w:r w:rsidRPr="0068011F">
        <w:rPr>
          <w:rFonts w:ascii="Tahoma" w:hAnsi="Tahoma" w:cs="Tahoma"/>
          <w:sz w:val="21"/>
          <w:szCs w:val="21"/>
        </w:rPr>
        <w:t>ным методом (0 или 1);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Условия оплаты – критерий условия оплаты (0 или 1).</w:t>
      </w:r>
    </w:p>
    <w:p w:rsidR="00521035" w:rsidRPr="0068011F" w:rsidRDefault="00521035" w:rsidP="000E0768">
      <w:pPr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Рассчитанные таким образом баллы влияют на окончательный выбор Поставщика при закупке ТМЦ (выбирается Поставщик, у которого выше балл).</w:t>
      </w:r>
    </w:p>
    <w:p w:rsidR="00521035" w:rsidRPr="0068011F" w:rsidRDefault="00521035" w:rsidP="000E0768">
      <w:pPr>
        <w:tabs>
          <w:tab w:val="left" w:pos="1080"/>
        </w:tabs>
        <w:spacing w:after="0"/>
        <w:ind w:firstLine="709"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18. Срок действия Соглашения</w:t>
      </w:r>
    </w:p>
    <w:p w:rsidR="00521035" w:rsidRPr="0068011F" w:rsidRDefault="00521035" w:rsidP="000E0768">
      <w:pPr>
        <w:tabs>
          <w:tab w:val="left" w:pos="287"/>
          <w:tab w:val="left" w:pos="545"/>
        </w:tabs>
        <w:spacing w:after="0"/>
        <w:ind w:firstLine="709"/>
        <w:contextualSpacing/>
        <w:jc w:val="both"/>
        <w:rPr>
          <w:rFonts w:ascii="Tahoma" w:hAnsi="Tahoma" w:cs="Tahoma"/>
          <w:sz w:val="21"/>
          <w:szCs w:val="21"/>
        </w:rPr>
      </w:pPr>
      <w:r w:rsidRPr="0068011F">
        <w:rPr>
          <w:rFonts w:ascii="Tahoma" w:hAnsi="Tahoma" w:cs="Tahoma"/>
          <w:sz w:val="21"/>
          <w:szCs w:val="21"/>
        </w:rPr>
        <w:t>Настоящее соглашение является неотъемлемой частью основного договора на поставку, но при этом отдельные положения Соглашения продолжают действовать по окончании действия основного договора, такие как п.5 и п.15.</w:t>
      </w:r>
    </w:p>
    <w:p w:rsidR="00521035" w:rsidRDefault="00521035" w:rsidP="0068011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/>
      </w:tblPr>
      <w:tblGrid>
        <w:gridCol w:w="5211"/>
        <w:gridCol w:w="5210"/>
      </w:tblGrid>
      <w:tr w:rsidR="00521035" w:rsidRPr="00DD7F6E" w:rsidTr="000C0025">
        <w:tc>
          <w:tcPr>
            <w:tcW w:w="5231" w:type="dxa"/>
          </w:tcPr>
          <w:p w:rsidR="00521035" w:rsidRPr="000C0025" w:rsidRDefault="00521035" w:rsidP="002868E5">
            <w:pPr>
              <w:jc w:val="center"/>
              <w:rPr>
                <w:rFonts w:ascii="Tahoma" w:hAnsi="Tahoma" w:cs="Tahoma"/>
              </w:rPr>
            </w:pPr>
            <w:r w:rsidRPr="000C0025">
              <w:rPr>
                <w:rFonts w:ascii="Tahoma" w:hAnsi="Tahoma" w:cs="Tahoma"/>
              </w:rPr>
              <w:t>От Поставщика</w:t>
            </w:r>
            <w:r>
              <w:rPr>
                <w:rFonts w:ascii="Tahoma" w:hAnsi="Tahoma" w:cs="Tahoma"/>
              </w:rPr>
              <w:t xml:space="preserve">: </w:t>
            </w:r>
            <w:r w:rsidR="008547C7"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instrText xml:space="preserve"> FORMTEXT </w:instrText>
            </w:r>
            <w:r w:rsidR="008547C7"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</w:r>
            <w:r w:rsidR="008547C7"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fldChar w:fldCharType="separate"/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="008547C7"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fldChar w:fldCharType="end"/>
            </w:r>
          </w:p>
        </w:tc>
        <w:tc>
          <w:tcPr>
            <w:tcW w:w="5232" w:type="dxa"/>
          </w:tcPr>
          <w:p w:rsidR="00521035" w:rsidRPr="00EB4612" w:rsidRDefault="00521035" w:rsidP="00EB4612">
            <w:pPr>
              <w:jc w:val="center"/>
              <w:rPr>
                <w:rFonts w:ascii="Tahoma" w:hAnsi="Tahoma" w:cs="Tahoma"/>
              </w:rPr>
            </w:pPr>
            <w:r w:rsidRPr="000C0025">
              <w:rPr>
                <w:rFonts w:ascii="Tahoma" w:hAnsi="Tahoma" w:cs="Tahoma"/>
              </w:rPr>
              <w:t>от Покупателя</w:t>
            </w:r>
            <w:r>
              <w:rPr>
                <w:rFonts w:ascii="Tahoma" w:hAnsi="Tahoma" w:cs="Tahoma"/>
              </w:rPr>
              <w:t xml:space="preserve">: </w:t>
            </w:r>
            <w:r w:rsidR="00EB4612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t>АО «КЛЕВЕР»</w:t>
            </w:r>
          </w:p>
        </w:tc>
      </w:tr>
      <w:tr w:rsidR="00521035" w:rsidRPr="00DD7F6E" w:rsidTr="000C0025">
        <w:tc>
          <w:tcPr>
            <w:tcW w:w="5231" w:type="dxa"/>
          </w:tcPr>
          <w:p w:rsidR="00521035" w:rsidRPr="000C0025" w:rsidRDefault="008547C7" w:rsidP="002868E5">
            <w:pPr>
              <w:jc w:val="center"/>
              <w:rPr>
                <w:rFonts w:ascii="Tahoma" w:hAnsi="Tahoma" w:cs="Tahoma"/>
              </w:rPr>
            </w:pPr>
            <w:r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="00521035"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instrText xml:space="preserve"> FORMTEXT </w:instrText>
            </w:r>
            <w:r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</w:r>
            <w:r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fldChar w:fldCharType="separate"/>
            </w:r>
            <w:r w:rsidR="00521035"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="00521035"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="00521035"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="00521035"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="00521035"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fldChar w:fldCharType="end"/>
            </w:r>
          </w:p>
          <w:p w:rsidR="00521035" w:rsidRPr="000C0025" w:rsidRDefault="00521035" w:rsidP="002868E5">
            <w:pPr>
              <w:jc w:val="center"/>
              <w:rPr>
                <w:rFonts w:ascii="Tahoma" w:hAnsi="Tahoma" w:cs="Tahoma"/>
              </w:rPr>
            </w:pPr>
            <w:r w:rsidRPr="000C0025">
              <w:rPr>
                <w:rFonts w:ascii="Tahoma" w:hAnsi="Tahoma" w:cs="Tahoma"/>
              </w:rPr>
              <w:t>___________</w:t>
            </w:r>
            <w:bookmarkStart w:id="0" w:name="ТекстовоеПоле12"/>
            <w:r w:rsidR="008547C7"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instrText xml:space="preserve"> FORMTEXT </w:instrText>
            </w:r>
            <w:r w:rsidR="008547C7"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</w:r>
            <w:r w:rsidR="008547C7"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fldChar w:fldCharType="separate"/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Pr="00F22870">
              <w:rPr>
                <w:rFonts w:ascii="Tahoma" w:hAnsi="Tahoma" w:cs="Tahoma"/>
                <w:noProof/>
                <w:color w:val="000000"/>
                <w:spacing w:val="2"/>
                <w:sz w:val="21"/>
                <w:szCs w:val="21"/>
              </w:rPr>
              <w:t> </w:t>
            </w:r>
            <w:r w:rsidR="008547C7" w:rsidRPr="00F22870"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fldChar w:fldCharType="end"/>
            </w:r>
            <w:bookmarkEnd w:id="0"/>
          </w:p>
          <w:p w:rsidR="00521035" w:rsidRPr="000C0025" w:rsidRDefault="00521035" w:rsidP="002868E5">
            <w:pPr>
              <w:jc w:val="center"/>
              <w:rPr>
                <w:rFonts w:ascii="Tahoma" w:hAnsi="Tahoma" w:cs="Tahoma"/>
              </w:rPr>
            </w:pPr>
            <w:r w:rsidRPr="000C0025">
              <w:rPr>
                <w:rFonts w:ascii="Tahoma" w:hAnsi="Tahoma" w:cs="Tahoma"/>
              </w:rPr>
              <w:t>М.п.</w:t>
            </w:r>
          </w:p>
        </w:tc>
        <w:tc>
          <w:tcPr>
            <w:tcW w:w="5232" w:type="dxa"/>
          </w:tcPr>
          <w:p w:rsidR="00521035" w:rsidRPr="000C0025" w:rsidRDefault="00EB4612" w:rsidP="002868E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pacing w:val="2"/>
                <w:sz w:val="21"/>
                <w:szCs w:val="21"/>
              </w:rPr>
              <w:t>Директор по закупкам</w:t>
            </w:r>
          </w:p>
          <w:p w:rsidR="00521035" w:rsidRPr="000C0025" w:rsidRDefault="00521035" w:rsidP="002868E5">
            <w:pPr>
              <w:jc w:val="center"/>
              <w:rPr>
                <w:rFonts w:ascii="Tahoma" w:hAnsi="Tahoma" w:cs="Tahoma"/>
              </w:rPr>
            </w:pPr>
            <w:r w:rsidRPr="000C0025">
              <w:rPr>
                <w:rFonts w:ascii="Tahoma" w:hAnsi="Tahoma" w:cs="Tahoma"/>
              </w:rPr>
              <w:t>_____________</w:t>
            </w:r>
            <w:r w:rsidR="00EB4612">
              <w:rPr>
                <w:rFonts w:ascii="Tahoma" w:hAnsi="Tahoma" w:cs="Tahoma"/>
              </w:rPr>
              <w:t xml:space="preserve"> А.В. Сизен</w:t>
            </w:r>
          </w:p>
          <w:p w:rsidR="00521035" w:rsidRPr="000C0025" w:rsidRDefault="00521035" w:rsidP="002868E5">
            <w:pPr>
              <w:jc w:val="center"/>
              <w:rPr>
                <w:rFonts w:ascii="Tahoma" w:hAnsi="Tahoma" w:cs="Tahoma"/>
              </w:rPr>
            </w:pPr>
            <w:r w:rsidRPr="000C0025">
              <w:rPr>
                <w:rFonts w:ascii="Tahoma" w:hAnsi="Tahoma" w:cs="Tahoma"/>
              </w:rPr>
              <w:t>М.п.</w:t>
            </w:r>
          </w:p>
        </w:tc>
      </w:tr>
    </w:tbl>
    <w:p w:rsidR="00EB4612" w:rsidRDefault="00EB4612" w:rsidP="0068011F">
      <w:pPr>
        <w:rPr>
          <w:rFonts w:ascii="Tahoma" w:hAnsi="Tahoma" w:cs="Tahoma"/>
          <w:sz w:val="21"/>
          <w:szCs w:val="21"/>
        </w:rPr>
      </w:pPr>
    </w:p>
    <w:p w:rsidR="00EB4612" w:rsidRPr="00EB4612" w:rsidRDefault="00EB4612" w:rsidP="00EB4612">
      <w:pPr>
        <w:rPr>
          <w:rFonts w:ascii="Tahoma" w:hAnsi="Tahoma" w:cs="Tahoma"/>
          <w:sz w:val="21"/>
          <w:szCs w:val="21"/>
        </w:rPr>
      </w:pPr>
    </w:p>
    <w:p w:rsidR="00EB4612" w:rsidRDefault="00EB4612" w:rsidP="00EB4612">
      <w:pPr>
        <w:rPr>
          <w:rFonts w:ascii="Tahoma" w:hAnsi="Tahoma" w:cs="Tahoma"/>
          <w:sz w:val="21"/>
          <w:szCs w:val="21"/>
        </w:rPr>
      </w:pPr>
    </w:p>
    <w:p w:rsidR="00521035" w:rsidRPr="00EB4612" w:rsidRDefault="00EB4612" w:rsidP="00EB4612">
      <w:pPr>
        <w:tabs>
          <w:tab w:val="left" w:pos="6285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</w:p>
    <w:sectPr w:rsidR="00521035" w:rsidRPr="00EB4612" w:rsidSect="00015D91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35" w:rsidRDefault="00521035">
      <w:r>
        <w:separator/>
      </w:r>
    </w:p>
  </w:endnote>
  <w:endnote w:type="continuationSeparator" w:id="0">
    <w:p w:rsidR="00521035" w:rsidRDefault="0052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35" w:rsidRDefault="008547C7" w:rsidP="00B95D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210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21035" w:rsidRDefault="00521035" w:rsidP="00AB1E9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35" w:rsidRDefault="008547C7" w:rsidP="00B95D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210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4612">
      <w:rPr>
        <w:rStyle w:val="ac"/>
        <w:noProof/>
      </w:rPr>
      <w:t>5</w:t>
    </w:r>
    <w:r>
      <w:rPr>
        <w:rStyle w:val="ac"/>
      </w:rPr>
      <w:fldChar w:fldCharType="end"/>
    </w:r>
  </w:p>
  <w:p w:rsidR="00521035" w:rsidRDefault="00521035" w:rsidP="00AB1E9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35" w:rsidRDefault="00521035">
      <w:r>
        <w:separator/>
      </w:r>
    </w:p>
  </w:footnote>
  <w:footnote w:type="continuationSeparator" w:id="0">
    <w:p w:rsidR="00521035" w:rsidRDefault="00521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49B"/>
    <w:multiLevelType w:val="hybridMultilevel"/>
    <w:tmpl w:val="A81A90C6"/>
    <w:lvl w:ilvl="0" w:tplc="E012C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77EAB"/>
    <w:multiLevelType w:val="hybridMultilevel"/>
    <w:tmpl w:val="253006DE"/>
    <w:lvl w:ilvl="0" w:tplc="E012C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506A3"/>
    <w:multiLevelType w:val="hybridMultilevel"/>
    <w:tmpl w:val="591294E8"/>
    <w:lvl w:ilvl="0" w:tplc="E012C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1AF9"/>
    <w:multiLevelType w:val="hybridMultilevel"/>
    <w:tmpl w:val="75F005FC"/>
    <w:lvl w:ilvl="0" w:tplc="E012C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437BC"/>
    <w:multiLevelType w:val="hybridMultilevel"/>
    <w:tmpl w:val="D438116A"/>
    <w:lvl w:ilvl="0" w:tplc="E012C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86FD7"/>
    <w:multiLevelType w:val="hybridMultilevel"/>
    <w:tmpl w:val="CA8258CA"/>
    <w:lvl w:ilvl="0" w:tplc="E012C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F2984"/>
    <w:multiLevelType w:val="multilevel"/>
    <w:tmpl w:val="9ABE0C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45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E567793"/>
    <w:multiLevelType w:val="hybridMultilevel"/>
    <w:tmpl w:val="95F66F30"/>
    <w:lvl w:ilvl="0" w:tplc="E012C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D6E4F"/>
    <w:multiLevelType w:val="hybridMultilevel"/>
    <w:tmpl w:val="F74834BC"/>
    <w:lvl w:ilvl="0" w:tplc="E012C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D91"/>
    <w:rsid w:val="00015D91"/>
    <w:rsid w:val="0006406A"/>
    <w:rsid w:val="000951E5"/>
    <w:rsid w:val="000C0025"/>
    <w:rsid w:val="000E0768"/>
    <w:rsid w:val="000F4467"/>
    <w:rsid w:val="000F5399"/>
    <w:rsid w:val="0012473C"/>
    <w:rsid w:val="00162120"/>
    <w:rsid w:val="00197830"/>
    <w:rsid w:val="001D3AA3"/>
    <w:rsid w:val="002026A3"/>
    <w:rsid w:val="002868E5"/>
    <w:rsid w:val="002A4862"/>
    <w:rsid w:val="003248A7"/>
    <w:rsid w:val="00327771"/>
    <w:rsid w:val="00330AC0"/>
    <w:rsid w:val="00365732"/>
    <w:rsid w:val="0039269E"/>
    <w:rsid w:val="003D5535"/>
    <w:rsid w:val="004152B5"/>
    <w:rsid w:val="004C0F4D"/>
    <w:rsid w:val="004F711B"/>
    <w:rsid w:val="0051272F"/>
    <w:rsid w:val="00521035"/>
    <w:rsid w:val="00534D67"/>
    <w:rsid w:val="005735E1"/>
    <w:rsid w:val="00673654"/>
    <w:rsid w:val="0068011F"/>
    <w:rsid w:val="0068186B"/>
    <w:rsid w:val="006901CE"/>
    <w:rsid w:val="007063E0"/>
    <w:rsid w:val="007342F4"/>
    <w:rsid w:val="00780C9E"/>
    <w:rsid w:val="00783D17"/>
    <w:rsid w:val="007B7632"/>
    <w:rsid w:val="008547C7"/>
    <w:rsid w:val="0099514E"/>
    <w:rsid w:val="009A2E49"/>
    <w:rsid w:val="00A4169A"/>
    <w:rsid w:val="00AB1E9D"/>
    <w:rsid w:val="00B23DAE"/>
    <w:rsid w:val="00B95DD3"/>
    <w:rsid w:val="00BE5820"/>
    <w:rsid w:val="00C1556D"/>
    <w:rsid w:val="00C32C41"/>
    <w:rsid w:val="00D0037A"/>
    <w:rsid w:val="00D22614"/>
    <w:rsid w:val="00D72D3C"/>
    <w:rsid w:val="00D850BB"/>
    <w:rsid w:val="00DD7F6E"/>
    <w:rsid w:val="00DF6F6F"/>
    <w:rsid w:val="00E430E4"/>
    <w:rsid w:val="00E57816"/>
    <w:rsid w:val="00E87C65"/>
    <w:rsid w:val="00EB4612"/>
    <w:rsid w:val="00EB4788"/>
    <w:rsid w:val="00EE1F86"/>
    <w:rsid w:val="00F22870"/>
    <w:rsid w:val="00FE15F8"/>
    <w:rsid w:val="00FF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9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42F4"/>
    <w:pPr>
      <w:ind w:left="720"/>
      <w:contextualSpacing/>
    </w:pPr>
  </w:style>
  <w:style w:type="table" w:styleId="a4">
    <w:name w:val="Table Grid"/>
    <w:basedOn w:val="a1"/>
    <w:uiPriority w:val="99"/>
    <w:rsid w:val="00D850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8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50B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783D1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51272F"/>
    <w:pPr>
      <w:tabs>
        <w:tab w:val="center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51272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AB1E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B7632"/>
    <w:rPr>
      <w:rFonts w:cs="Times New Roman"/>
      <w:lang w:eastAsia="en-US"/>
    </w:rPr>
  </w:style>
  <w:style w:type="character" w:styleId="ac">
    <w:name w:val="page number"/>
    <w:basedOn w:val="a0"/>
    <w:uiPriority w:val="99"/>
    <w:rsid w:val="00AB1E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1735</Words>
  <Characters>11934</Characters>
  <Application>Microsoft Office Word</Application>
  <DocSecurity>0</DocSecurity>
  <Lines>99</Lines>
  <Paragraphs>27</Paragraphs>
  <ScaleCrop>false</ScaleCrop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Еланцев Андрей Евгеньевич</dc:creator>
  <cp:keywords/>
  <dc:description/>
  <cp:lastModifiedBy>KL005120</cp:lastModifiedBy>
  <cp:revision>3</cp:revision>
  <dcterms:created xsi:type="dcterms:W3CDTF">2015-03-12T14:08:00Z</dcterms:created>
  <dcterms:modified xsi:type="dcterms:W3CDTF">2023-05-12T13:21:00Z</dcterms:modified>
</cp:coreProperties>
</file>